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20" w:after="120" w:line="0" w:lineRule="atLeast"/>
        <w:jc w:val="center"/>
        <w:outlineLvl w:val="0"/>
        <w:rPr>
          <w:rFonts w:hint="eastAsia" w:ascii="Times New Roman" w:hAnsi="Times New Roman"/>
          <w:sz w:val="24"/>
          <w:szCs w:val="24"/>
        </w:rPr>
      </w:pPr>
      <w:r>
        <w:rPr>
          <w:rFonts w:hint="eastAsia" w:ascii="Times New Roman" w:hAnsi="Times New Roman" w:eastAsia="黑体"/>
          <w:bCs/>
          <w:sz w:val="44"/>
        </w:rPr>
        <w:t>采购需求</w:t>
      </w:r>
    </w:p>
    <w:p>
      <w:pPr>
        <w:spacing w:line="560" w:lineRule="exact"/>
        <w:ind w:firstLine="480"/>
        <w:rPr>
          <w:rFonts w:hint="eastAsia"/>
          <w:color w:val="000000"/>
          <w:sz w:val="24"/>
          <w:u w:val="single"/>
        </w:rPr>
      </w:pPr>
      <w:r>
        <w:rPr>
          <w:rFonts w:hint="eastAsia"/>
          <w:color w:val="000000"/>
          <w:sz w:val="24"/>
        </w:rPr>
        <w:t>项目属性：</w:t>
      </w:r>
      <w:r>
        <w:rPr>
          <w:rFonts w:hint="eastAsia"/>
          <w:color w:val="000000"/>
          <w:sz w:val="24"/>
          <w:u w:val="single"/>
        </w:rPr>
        <w:t>货物类项目</w:t>
      </w:r>
    </w:p>
    <w:p>
      <w:pPr>
        <w:spacing w:line="560" w:lineRule="exact"/>
        <w:ind w:firstLine="480"/>
        <w:rPr>
          <w:rFonts w:hint="eastAsia"/>
          <w:color w:val="000000"/>
          <w:sz w:val="24"/>
          <w:u w:val="single"/>
        </w:rPr>
      </w:pPr>
      <w:r>
        <w:rPr>
          <w:rFonts w:hint="eastAsia"/>
          <w:color w:val="000000"/>
          <w:sz w:val="24"/>
        </w:rPr>
        <w:t>本项目采购标的</w:t>
      </w:r>
      <w:r>
        <w:rPr>
          <w:rFonts w:hint="eastAsia"/>
          <w:color w:val="000000"/>
          <w:sz w:val="24"/>
          <w:highlight w:val="none"/>
        </w:rPr>
        <w:t>对应的中小企业划分标准所属行业：</w:t>
      </w:r>
      <w:r>
        <w:rPr>
          <w:rFonts w:hint="eastAsia"/>
          <w:color w:val="000000"/>
          <w:sz w:val="24"/>
          <w:highlight w:val="none"/>
          <w:u w:val="single"/>
        </w:rPr>
        <w:t xml:space="preserve"> 工业（制造业）</w:t>
      </w:r>
    </w:p>
    <w:p>
      <w:pPr>
        <w:spacing w:line="560" w:lineRule="exact"/>
        <w:ind w:firstLine="480"/>
        <w:rPr>
          <w:rFonts w:hint="eastAsia"/>
          <w:color w:val="000000"/>
          <w:sz w:val="24"/>
        </w:rPr>
      </w:pPr>
      <w:r>
        <w:rPr>
          <w:rFonts w:hint="eastAsia"/>
          <w:color w:val="000000"/>
          <w:sz w:val="24"/>
        </w:rPr>
        <w:t>本项目</w:t>
      </w:r>
      <w:r>
        <w:rPr>
          <w:rFonts w:hint="eastAsia"/>
          <w:color w:val="000000"/>
          <w:sz w:val="24"/>
          <w:highlight w:val="yellow"/>
          <w:u w:val="single"/>
        </w:rPr>
        <w:t xml:space="preserve"> 接受 </w:t>
      </w:r>
      <w:r>
        <w:rPr>
          <w:rFonts w:hint="eastAsia"/>
          <w:color w:val="000000"/>
          <w:sz w:val="24"/>
        </w:rPr>
        <w:t>进口产品。</w:t>
      </w:r>
    </w:p>
    <w:p>
      <w:pPr>
        <w:spacing w:line="560" w:lineRule="exact"/>
        <w:ind w:firstLine="480"/>
        <w:rPr>
          <w:rFonts w:hint="eastAsia"/>
          <w:color w:val="000000"/>
          <w:sz w:val="24"/>
        </w:rPr>
      </w:pPr>
      <w:r>
        <w:rPr>
          <w:rFonts w:hint="eastAsia"/>
          <w:color w:val="000000"/>
          <w:sz w:val="24"/>
        </w:rPr>
        <w:t>项目概况</w:t>
      </w:r>
    </w:p>
    <w:p>
      <w:pPr>
        <w:spacing w:line="560" w:lineRule="exact"/>
        <w:ind w:firstLine="480"/>
        <w:rPr>
          <w:rFonts w:hint="eastAsia" w:eastAsia="宋体"/>
          <w:color w:val="000000"/>
          <w:sz w:val="24"/>
          <w:u w:val="single"/>
          <w:lang w:eastAsia="zh-CN"/>
        </w:rPr>
      </w:pPr>
      <w:r>
        <w:rPr>
          <w:rFonts w:hint="eastAsia"/>
          <w:color w:val="000000"/>
          <w:sz w:val="24"/>
        </w:rPr>
        <w:t>本项目核心产品：</w:t>
      </w:r>
      <w:r>
        <w:rPr>
          <w:rFonts w:hint="eastAsia"/>
          <w:color w:val="000000"/>
          <w:sz w:val="24"/>
          <w:u w:val="single"/>
          <w:lang w:eastAsia="zh-CN"/>
        </w:rPr>
        <w:t>全自动微生物药敏仪采购项目</w:t>
      </w:r>
    </w:p>
    <w:p>
      <w:pPr>
        <w:spacing w:line="560" w:lineRule="exact"/>
        <w:outlineLvl w:val="1"/>
        <w:rPr>
          <w:rFonts w:hint="eastAsia"/>
          <w:b/>
          <w:bCs/>
          <w:color w:val="000000"/>
          <w:sz w:val="24"/>
        </w:rPr>
      </w:pPr>
      <w:bookmarkStart w:id="0" w:name="_Toc25739"/>
      <w:bookmarkStart w:id="1" w:name="_Toc32187"/>
      <w:r>
        <w:rPr>
          <w:rFonts w:hint="eastAsia"/>
          <w:b/>
          <w:bCs/>
          <w:color w:val="000000"/>
          <w:sz w:val="24"/>
        </w:rPr>
        <w:t>一、项目概况</w:t>
      </w:r>
      <w:bookmarkEnd w:id="0"/>
      <w:bookmarkEnd w:id="1"/>
    </w:p>
    <w:p>
      <w:pPr>
        <w:spacing w:line="0" w:lineRule="atLeast"/>
        <w:rPr>
          <w:rFonts w:hint="eastAsia"/>
          <w:color w:val="000000"/>
          <w:sz w:val="24"/>
          <w:szCs w:val="24"/>
        </w:rPr>
      </w:pPr>
      <w:r>
        <w:rPr>
          <w:rFonts w:hint="eastAsia"/>
          <w:color w:val="000000"/>
          <w:sz w:val="24"/>
          <w:szCs w:val="24"/>
        </w:rPr>
        <w:t>1、</w:t>
      </w:r>
      <w:r>
        <w:rPr>
          <w:rFonts w:hint="eastAsia"/>
          <w:color w:val="000000"/>
          <w:sz w:val="24"/>
          <w:szCs w:val="24"/>
          <w:lang w:eastAsia="zh-CN"/>
        </w:rPr>
        <w:t>宿迁市疾病预防控制中心</w:t>
      </w:r>
      <w:r>
        <w:rPr>
          <w:rFonts w:hint="eastAsia"/>
          <w:color w:val="000000"/>
          <w:sz w:val="24"/>
          <w:szCs w:val="24"/>
        </w:rPr>
        <w:t>拟采购如下产品：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065"/>
        <w:gridCol w:w="1057"/>
        <w:gridCol w:w="726"/>
        <w:gridCol w:w="247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pStyle w:val="7"/>
              <w:spacing w:before="145" w:beforeLines="50"/>
              <w:jc w:val="center"/>
              <w:rPr>
                <w:rFonts w:ascii="仿宋" w:hAnsi="仿宋" w:eastAsia="仿宋" w:cs="仿宋"/>
                <w:sz w:val="18"/>
                <w:szCs w:val="18"/>
              </w:rPr>
            </w:pPr>
            <w:r>
              <w:rPr>
                <w:rFonts w:hint="eastAsia" w:ascii="仿宋" w:hAnsi="仿宋" w:eastAsia="仿宋" w:cs="仿宋"/>
                <w:sz w:val="20"/>
                <w:szCs w:val="20"/>
              </w:rPr>
              <w:t>序号</w:t>
            </w:r>
          </w:p>
        </w:tc>
        <w:tc>
          <w:tcPr>
            <w:tcW w:w="2065" w:type="dxa"/>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lang w:val="en-US" w:eastAsia="zh-CN"/>
              </w:rPr>
              <w:t>设备名称</w:t>
            </w:r>
          </w:p>
        </w:tc>
        <w:tc>
          <w:tcPr>
            <w:tcW w:w="1057" w:type="dxa"/>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数量</w:t>
            </w:r>
          </w:p>
        </w:tc>
        <w:tc>
          <w:tcPr>
            <w:tcW w:w="726" w:type="dxa"/>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单位</w:t>
            </w:r>
          </w:p>
        </w:tc>
        <w:tc>
          <w:tcPr>
            <w:tcW w:w="2477" w:type="dxa"/>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规格</w:t>
            </w:r>
          </w:p>
        </w:tc>
        <w:tc>
          <w:tcPr>
            <w:tcW w:w="1421" w:type="dxa"/>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1</w:t>
            </w:r>
          </w:p>
        </w:tc>
        <w:tc>
          <w:tcPr>
            <w:tcW w:w="2065" w:type="dxa"/>
            <w:vAlign w:val="center"/>
          </w:tcPr>
          <w:p>
            <w:pPr>
              <w:pStyle w:val="7"/>
              <w:spacing w:before="145" w:beforeLines="50"/>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全自动微生物药敏仪采购项目</w:t>
            </w:r>
          </w:p>
        </w:tc>
        <w:tc>
          <w:tcPr>
            <w:tcW w:w="1057" w:type="dxa"/>
            <w:vAlign w:val="center"/>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1</w:t>
            </w:r>
          </w:p>
        </w:tc>
        <w:tc>
          <w:tcPr>
            <w:tcW w:w="726" w:type="dxa"/>
            <w:vAlign w:val="center"/>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套</w:t>
            </w:r>
          </w:p>
        </w:tc>
        <w:tc>
          <w:tcPr>
            <w:tcW w:w="2477" w:type="dxa"/>
            <w:vAlign w:val="center"/>
          </w:tcPr>
          <w:p>
            <w:pPr>
              <w:pStyle w:val="7"/>
              <w:spacing w:before="145" w:beforeLines="50"/>
              <w:jc w:val="center"/>
              <w:rPr>
                <w:rFonts w:ascii="仿宋" w:hAnsi="仿宋" w:eastAsia="仿宋" w:cs="仿宋"/>
                <w:sz w:val="20"/>
                <w:szCs w:val="20"/>
              </w:rPr>
            </w:pPr>
            <w:r>
              <w:rPr>
                <w:rFonts w:hint="eastAsia" w:ascii="仿宋" w:hAnsi="仿宋" w:eastAsia="仿宋" w:cs="仿宋"/>
                <w:sz w:val="20"/>
                <w:szCs w:val="20"/>
              </w:rPr>
              <w:t>其他详见具体技术参数</w:t>
            </w:r>
          </w:p>
        </w:tc>
        <w:tc>
          <w:tcPr>
            <w:tcW w:w="1421" w:type="dxa"/>
            <w:vAlign w:val="center"/>
          </w:tcPr>
          <w:p>
            <w:pPr>
              <w:pStyle w:val="7"/>
              <w:spacing w:before="145" w:beforeLines="50"/>
              <w:jc w:val="center"/>
              <w:rPr>
                <w:rFonts w:ascii="仿宋" w:hAnsi="仿宋" w:eastAsia="仿宋" w:cs="仿宋"/>
                <w:sz w:val="20"/>
                <w:szCs w:val="20"/>
              </w:rPr>
            </w:pPr>
          </w:p>
        </w:tc>
      </w:tr>
    </w:tbl>
    <w:p>
      <w:pPr>
        <w:pStyle w:val="2"/>
        <w:numPr>
          <w:ilvl w:val="0"/>
          <w:numId w:val="1"/>
        </w:numPr>
        <w:ind w:firstLine="0"/>
        <w:rPr>
          <w:rFonts w:hint="eastAsia"/>
          <w:color w:val="000000"/>
          <w:sz w:val="24"/>
          <w:szCs w:val="24"/>
        </w:rPr>
      </w:pPr>
      <w:r>
        <w:rPr>
          <w:rFonts w:hint="eastAsia"/>
          <w:color w:val="000000"/>
          <w:sz w:val="24"/>
          <w:szCs w:val="24"/>
        </w:rPr>
        <w:t>本项目预算金额及最高限价为</w:t>
      </w:r>
      <w:r>
        <w:rPr>
          <w:rFonts w:hint="eastAsia"/>
          <w:color w:val="000000"/>
          <w:sz w:val="24"/>
          <w:szCs w:val="24"/>
          <w:u w:val="single"/>
        </w:rPr>
        <w:t xml:space="preserve"> </w:t>
      </w:r>
      <w:r>
        <w:rPr>
          <w:rFonts w:hint="eastAsia"/>
          <w:color w:val="000000"/>
          <w:sz w:val="24"/>
          <w:szCs w:val="24"/>
          <w:u w:val="single"/>
          <w:lang w:eastAsia="zh-CN"/>
        </w:rPr>
        <w:t>90万</w:t>
      </w:r>
      <w:r>
        <w:rPr>
          <w:rFonts w:hint="eastAsia"/>
          <w:color w:val="000000"/>
          <w:sz w:val="24"/>
          <w:szCs w:val="24"/>
        </w:rPr>
        <w:t>元，超过此限价的作无效标处理。</w:t>
      </w:r>
    </w:p>
    <w:p>
      <w:pPr>
        <w:spacing w:line="560" w:lineRule="exact"/>
        <w:ind w:firstLine="482"/>
        <w:outlineLvl w:val="1"/>
        <w:rPr>
          <w:rFonts w:hint="eastAsia"/>
          <w:b/>
          <w:bCs/>
          <w:color w:val="000000"/>
          <w:sz w:val="24"/>
        </w:rPr>
      </w:pPr>
      <w:bookmarkStart w:id="2" w:name="_Toc1412"/>
      <w:bookmarkStart w:id="3" w:name="_Toc32706"/>
      <w:r>
        <w:rPr>
          <w:rFonts w:hint="eastAsia"/>
          <w:b/>
          <w:bCs/>
          <w:color w:val="000000"/>
          <w:sz w:val="24"/>
        </w:rPr>
        <w:t>二、合同履行期限、地点及要求</w:t>
      </w:r>
      <w:bookmarkEnd w:id="2"/>
      <w:bookmarkEnd w:id="3"/>
    </w:p>
    <w:p>
      <w:pPr>
        <w:spacing w:line="560" w:lineRule="exact"/>
        <w:ind w:firstLine="480"/>
        <w:rPr>
          <w:rFonts w:hint="eastAsia"/>
          <w:color w:val="000000"/>
          <w:sz w:val="24"/>
        </w:rPr>
      </w:pPr>
      <w:r>
        <w:rPr>
          <w:rFonts w:hint="eastAsia"/>
          <w:color w:val="000000"/>
          <w:sz w:val="24"/>
        </w:rPr>
        <w:t>合同履行期限：合同签订后</w:t>
      </w:r>
      <w:r>
        <w:rPr>
          <w:rFonts w:hint="eastAsia"/>
          <w:color w:val="000000"/>
          <w:sz w:val="24"/>
          <w:lang w:val="en-US" w:eastAsia="zh-CN"/>
        </w:rPr>
        <w:t>15</w:t>
      </w:r>
      <w:r>
        <w:rPr>
          <w:rFonts w:hint="eastAsia"/>
          <w:color w:val="000000"/>
          <w:sz w:val="24"/>
        </w:rPr>
        <w:t>日历天内将货物送至采购人指定地点并安装调试完毕且经验收合格交付采购单位使用。</w:t>
      </w:r>
    </w:p>
    <w:p>
      <w:pPr>
        <w:spacing w:line="560" w:lineRule="exact"/>
        <w:ind w:firstLine="480"/>
        <w:rPr>
          <w:rFonts w:hint="eastAsia"/>
          <w:color w:val="000000"/>
          <w:sz w:val="24"/>
        </w:rPr>
      </w:pPr>
      <w:r>
        <w:rPr>
          <w:rFonts w:hint="eastAsia"/>
          <w:color w:val="000000"/>
          <w:sz w:val="24"/>
        </w:rPr>
        <w:t>免费质保期：</w:t>
      </w:r>
      <w:r>
        <w:rPr>
          <w:rFonts w:hint="eastAsia"/>
          <w:color w:val="000000"/>
          <w:sz w:val="24"/>
          <w:lang w:val="en-US" w:eastAsia="zh-CN"/>
        </w:rPr>
        <w:t>1</w:t>
      </w:r>
      <w:r>
        <w:rPr>
          <w:rFonts w:hint="eastAsia"/>
          <w:color w:val="000000"/>
          <w:sz w:val="24"/>
        </w:rPr>
        <w:t>年，自项目验收合格之日起。</w:t>
      </w:r>
    </w:p>
    <w:p>
      <w:pPr>
        <w:spacing w:line="560" w:lineRule="exact"/>
        <w:ind w:firstLine="480"/>
        <w:rPr>
          <w:rFonts w:hint="eastAsia"/>
          <w:color w:val="000000"/>
          <w:sz w:val="24"/>
        </w:rPr>
      </w:pPr>
      <w:r>
        <w:rPr>
          <w:rFonts w:hint="eastAsia"/>
          <w:color w:val="000000"/>
          <w:sz w:val="24"/>
        </w:rPr>
        <w:t>交货地点：采购人指定地点。</w:t>
      </w:r>
    </w:p>
    <w:p>
      <w:pPr>
        <w:spacing w:line="560" w:lineRule="exact"/>
        <w:ind w:firstLine="480"/>
        <w:rPr>
          <w:rFonts w:hint="eastAsia"/>
          <w:color w:val="000000"/>
          <w:sz w:val="24"/>
        </w:rPr>
      </w:pPr>
      <w:r>
        <w:rPr>
          <w:rFonts w:hint="eastAsia"/>
          <w:color w:val="000000"/>
          <w:sz w:val="24"/>
        </w:rPr>
        <w:t>质量要求：合格，供应商提供的产品（含软件、技术等）必须为原装正品，严禁帖牌、伪造，应为全新未使用的产品，性能及质量有国家标准的应符合国家标准。无国家标准的应符合行业标准或企业标准，并满足招标文件要求，实现投标文件承诺条款。符合招标文件技术参数要求，且以满足项目验收为准，项目服务须满足采购需求。</w:t>
      </w:r>
    </w:p>
    <w:p>
      <w:pPr>
        <w:spacing w:line="560" w:lineRule="exact"/>
        <w:ind w:firstLine="482"/>
        <w:outlineLvl w:val="1"/>
        <w:rPr>
          <w:rFonts w:hint="eastAsia"/>
          <w:b/>
          <w:bCs/>
          <w:color w:val="000000"/>
          <w:sz w:val="24"/>
        </w:rPr>
      </w:pPr>
      <w:bookmarkStart w:id="4" w:name="_Toc9230"/>
      <w:bookmarkStart w:id="5" w:name="_Toc9819"/>
      <w:r>
        <w:rPr>
          <w:rFonts w:hint="eastAsia"/>
          <w:b/>
          <w:bCs/>
          <w:color w:val="000000"/>
          <w:sz w:val="24"/>
        </w:rPr>
        <w:t>三、付款方式</w:t>
      </w:r>
      <w:bookmarkEnd w:id="4"/>
      <w:bookmarkEnd w:id="5"/>
    </w:p>
    <w:p>
      <w:pPr>
        <w:ind w:firstLine="480"/>
        <w:rPr>
          <w:rFonts w:hint="eastAsia"/>
          <w:bCs/>
          <w:color w:val="000000"/>
          <w:sz w:val="24"/>
          <w:highlight w:val="none"/>
          <w:lang w:val="zh-CN"/>
        </w:rPr>
      </w:pPr>
      <w:r>
        <w:rPr>
          <w:rFonts w:hint="eastAsia"/>
          <w:bCs/>
          <w:color w:val="000000"/>
          <w:sz w:val="24"/>
          <w:highlight w:val="none"/>
        </w:rPr>
        <w:t>预付款：</w:t>
      </w:r>
      <w:r>
        <w:rPr>
          <w:rFonts w:hint="eastAsia"/>
          <w:bCs/>
          <w:color w:val="000000"/>
          <w:sz w:val="24"/>
          <w:highlight w:val="none"/>
          <w:u w:val="single"/>
          <w:lang w:val="zh-CN"/>
        </w:rPr>
        <w:t>签订合同后</w:t>
      </w:r>
      <w:r>
        <w:rPr>
          <w:rFonts w:hint="eastAsia"/>
          <w:bCs/>
          <w:color w:val="000000"/>
          <w:sz w:val="24"/>
          <w:highlight w:val="none"/>
          <w:u w:val="single"/>
          <w:lang w:val="en-US" w:eastAsia="zh-CN"/>
        </w:rPr>
        <w:t>10日</w:t>
      </w:r>
      <w:r>
        <w:rPr>
          <w:rFonts w:hint="eastAsia"/>
          <w:bCs/>
          <w:color w:val="000000"/>
          <w:sz w:val="24"/>
          <w:highlight w:val="none"/>
          <w:u w:val="single"/>
          <w:lang w:val="zh-CN"/>
        </w:rPr>
        <w:t>内支付合同总价款的30%</w:t>
      </w:r>
      <w:r>
        <w:rPr>
          <w:rFonts w:hint="eastAsia"/>
          <w:bCs/>
          <w:color w:val="000000"/>
          <w:sz w:val="24"/>
          <w:highlight w:val="none"/>
          <w:lang w:val="zh-CN"/>
        </w:rPr>
        <w:t>；</w:t>
      </w:r>
    </w:p>
    <w:p>
      <w:pPr>
        <w:ind w:firstLine="480"/>
        <w:rPr>
          <w:rFonts w:hint="eastAsia"/>
          <w:color w:val="000000"/>
          <w:highlight w:val="none"/>
        </w:rPr>
      </w:pPr>
      <w:r>
        <w:rPr>
          <w:rFonts w:hint="eastAsia"/>
          <w:bCs/>
          <w:color w:val="000000"/>
          <w:sz w:val="24"/>
          <w:highlight w:val="none"/>
        </w:rPr>
        <w:t>进度款：</w:t>
      </w:r>
      <w:r>
        <w:rPr>
          <w:rFonts w:hint="eastAsia" w:ascii="宋体" w:hAnsi="宋体"/>
          <w:color w:val="000000"/>
          <w:sz w:val="24"/>
          <w:szCs w:val="24"/>
          <w:highlight w:val="none"/>
          <w:u w:val="single"/>
        </w:rPr>
        <w:t>经安装、调试完毕且经验收合格交付使用，在收到供应商发票后</w:t>
      </w:r>
      <w:r>
        <w:rPr>
          <w:rFonts w:hint="eastAsia"/>
          <w:color w:val="000000"/>
          <w:sz w:val="24"/>
          <w:szCs w:val="24"/>
          <w:highlight w:val="none"/>
          <w:u w:val="single"/>
        </w:rPr>
        <w:t>10</w:t>
      </w:r>
      <w:r>
        <w:rPr>
          <w:rFonts w:hint="eastAsia" w:ascii="宋体" w:hAnsi="宋体"/>
          <w:color w:val="000000"/>
          <w:sz w:val="24"/>
          <w:szCs w:val="24"/>
          <w:highlight w:val="none"/>
          <w:u w:val="single"/>
        </w:rPr>
        <w:t>个工作日内支付至合同总额</w:t>
      </w:r>
      <w:r>
        <w:rPr>
          <w:rFonts w:hint="eastAsia"/>
          <w:color w:val="000000"/>
          <w:sz w:val="24"/>
          <w:szCs w:val="24"/>
          <w:highlight w:val="none"/>
          <w:u w:val="single"/>
        </w:rPr>
        <w:t>100%</w:t>
      </w:r>
      <w:r>
        <w:rPr>
          <w:rFonts w:hint="eastAsia" w:ascii="宋体" w:hAnsi="宋体"/>
          <w:color w:val="000000"/>
          <w:sz w:val="24"/>
          <w:szCs w:val="24"/>
          <w:highlight w:val="none"/>
          <w:u w:val="single"/>
        </w:rPr>
        <w:t>。付款前，供应商应向采购人提供符合要求的增值税发票，否则，采购人有权拒绝付款，同时不免除供应商合同履行义务。采购人可从应付款中直接扣除供应商应承担的违约金或其他费用。</w:t>
      </w:r>
    </w:p>
    <w:p>
      <w:pPr>
        <w:spacing w:line="560" w:lineRule="exact"/>
        <w:ind w:firstLine="480"/>
        <w:rPr>
          <w:rFonts w:hint="eastAsia"/>
          <w:bCs/>
          <w:color w:val="000000"/>
          <w:sz w:val="24"/>
          <w:highlight w:val="yellow"/>
          <w:lang w:val="zh-CN"/>
        </w:rPr>
      </w:pPr>
      <w:r>
        <w:rPr>
          <w:rFonts w:hint="eastAsia"/>
          <w:bCs/>
          <w:color w:val="000000"/>
          <w:sz w:val="24"/>
          <w:highlight w:val="none"/>
          <w:lang w:val="zh-CN"/>
        </w:rPr>
        <w:t>资金支付的</w:t>
      </w:r>
      <w:r>
        <w:rPr>
          <w:rFonts w:hint="eastAsia"/>
          <w:bCs/>
          <w:color w:val="000000"/>
          <w:sz w:val="24"/>
          <w:highlight w:val="none"/>
        </w:rPr>
        <w:t>时间</w:t>
      </w:r>
      <w:r>
        <w:rPr>
          <w:rFonts w:hint="eastAsia"/>
          <w:bCs/>
          <w:color w:val="000000"/>
          <w:sz w:val="24"/>
          <w:highlight w:val="none"/>
          <w:lang w:val="zh-CN"/>
        </w:rPr>
        <w:t>：</w:t>
      </w:r>
      <w:r>
        <w:rPr>
          <w:rFonts w:hint="eastAsia"/>
          <w:bCs/>
          <w:color w:val="000000"/>
          <w:sz w:val="24"/>
          <w:highlight w:val="none"/>
        </w:rPr>
        <w:t>收到供应商发票10个工作日内将资金支付到合同约定的供应商账户或供应商数字人民币账户。</w:t>
      </w:r>
    </w:p>
    <w:p>
      <w:pPr>
        <w:spacing w:line="560" w:lineRule="exact"/>
        <w:ind w:firstLine="480"/>
        <w:rPr>
          <w:rFonts w:hint="eastAsia"/>
          <w:bCs/>
          <w:color w:val="000000"/>
          <w:sz w:val="24"/>
        </w:rPr>
      </w:pPr>
      <w:r>
        <w:rPr>
          <w:rFonts w:hint="eastAsia"/>
          <w:bCs/>
          <w:color w:val="000000"/>
          <w:sz w:val="24"/>
          <w:lang w:val="zh-CN"/>
        </w:rPr>
        <w:t>资金支付</w:t>
      </w:r>
      <w:r>
        <w:rPr>
          <w:rFonts w:hint="eastAsia"/>
          <w:bCs/>
          <w:color w:val="000000"/>
          <w:sz w:val="24"/>
        </w:rPr>
        <w:t>的条件：满足相应阶段的要求且收到供应商发票；</w:t>
      </w:r>
    </w:p>
    <w:p>
      <w:pPr>
        <w:spacing w:line="360" w:lineRule="auto"/>
        <w:ind w:firstLine="480"/>
        <w:jc w:val="left"/>
        <w:rPr>
          <w:rFonts w:hint="eastAsia" w:ascii="宋体" w:hAnsi="宋体" w:cs="宋体"/>
          <w:b/>
          <w:bCs/>
          <w:color w:val="000000"/>
          <w:sz w:val="24"/>
          <w:szCs w:val="24"/>
        </w:rPr>
      </w:pPr>
      <w:r>
        <w:rPr>
          <w:rFonts w:hint="eastAsia"/>
          <w:bCs/>
          <w:color w:val="000000"/>
          <w:sz w:val="24"/>
          <w:u w:val="single"/>
        </w:rPr>
        <w:t>注：在签订合同时，中标人明确表示无需预付款或者主动要求降低预付款比例的金额，采购人可不适用预付款规定。</w:t>
      </w:r>
    </w:p>
    <w:p>
      <w:pPr>
        <w:numPr>
          <w:ilvl w:val="0"/>
          <w:numId w:val="2"/>
        </w:numPr>
        <w:spacing w:line="560" w:lineRule="exact"/>
        <w:ind w:firstLine="482"/>
        <w:outlineLvl w:val="1"/>
        <w:rPr>
          <w:rFonts w:hint="eastAsia"/>
          <w:b/>
          <w:bCs/>
          <w:color w:val="000000"/>
          <w:sz w:val="24"/>
        </w:rPr>
      </w:pPr>
      <w:bookmarkStart w:id="6" w:name="_Toc29248"/>
      <w:bookmarkStart w:id="7" w:name="_Toc4342"/>
      <w:r>
        <w:rPr>
          <w:rFonts w:hint="eastAsia"/>
          <w:b/>
          <w:bCs/>
          <w:color w:val="000000"/>
          <w:sz w:val="24"/>
        </w:rPr>
        <w:t>采购产品参数</w:t>
      </w:r>
      <w:bookmarkEnd w:id="6"/>
      <w:bookmarkEnd w:id="7"/>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4"/>
          <w:szCs w:val="24"/>
        </w:rPr>
        <w:t>用途：用于微生物药敏分析系统，临床和各研究项目标本中细菌、真菌和分枝杆菌的药敏检测和研究。</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2.</w:t>
      </w:r>
      <w:r>
        <w:rPr>
          <w:rFonts w:ascii="宋体" w:hAnsi="宋体"/>
          <w:bCs/>
          <w:sz w:val="24"/>
          <w:szCs w:val="24"/>
        </w:rPr>
        <w:t>▲</w:t>
      </w:r>
      <w:r>
        <w:rPr>
          <w:rFonts w:hint="eastAsia" w:ascii="宋体" w:hAnsi="宋体" w:cs="宋体"/>
          <w:color w:val="000000"/>
          <w:sz w:val="24"/>
          <w:szCs w:val="24"/>
        </w:rPr>
        <w:t>通量：</w:t>
      </w:r>
      <w:r>
        <w:rPr>
          <w:rFonts w:hint="eastAsia" w:ascii="宋体" w:hAnsi="宋体" w:cs="宋体"/>
          <w:color w:val="000000"/>
          <w:sz w:val="24"/>
          <w:szCs w:val="24"/>
          <w:lang w:eastAsia="zh-CN"/>
        </w:rPr>
        <w:t>单台机器</w:t>
      </w:r>
      <w:r>
        <w:rPr>
          <w:rFonts w:hint="eastAsia" w:ascii="宋体" w:hAnsi="宋体" w:cs="宋体"/>
          <w:color w:val="000000"/>
          <w:sz w:val="24"/>
          <w:szCs w:val="24"/>
        </w:rPr>
        <w:t>可同时检测至少100块板条。一次最多可做100个药敏测试，300个鉴定测试，提供证明材料。</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3.</w:t>
      </w:r>
      <w:r>
        <w:rPr>
          <w:rFonts w:hint="eastAsia" w:ascii="宋体" w:hAnsi="宋体" w:cs="宋体"/>
          <w:color w:val="000000"/>
          <w:sz w:val="24"/>
          <w:szCs w:val="24"/>
        </w:rPr>
        <w:t>检测原理：采用快速荧光结合经典比浊分析技术。</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4.</w:t>
      </w:r>
      <w:r>
        <w:rPr>
          <w:rFonts w:hint="eastAsia" w:ascii="宋体" w:hAnsi="宋体" w:cs="宋体"/>
          <w:color w:val="000000"/>
          <w:sz w:val="24"/>
          <w:szCs w:val="24"/>
        </w:rPr>
        <w:t>▲全自动仪器，自动识别检测板条种类、孵育、判读及报告结果，提供证明材料。</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5.</w:t>
      </w:r>
      <w:r>
        <w:rPr>
          <w:rFonts w:hint="eastAsia" w:ascii="宋体" w:hAnsi="宋体" w:cs="宋体"/>
          <w:color w:val="000000"/>
          <w:sz w:val="24"/>
          <w:szCs w:val="24"/>
        </w:rPr>
        <w:t>▲系统具有立即读板功能，方便用户选择，加快检测速度，提供证明材料。</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6.</w:t>
      </w:r>
      <w:r>
        <w:rPr>
          <w:rFonts w:hint="eastAsia" w:ascii="宋体" w:hAnsi="宋体" w:cs="宋体"/>
          <w:color w:val="000000"/>
          <w:sz w:val="24"/>
          <w:szCs w:val="24"/>
        </w:rPr>
        <w:t>细菌鉴定：可鉴定革兰氏阴性和革兰氏阳性细菌等。</w:t>
      </w:r>
    </w:p>
    <w:p>
      <w:pPr>
        <w:numPr>
          <w:ilvl w:val="0"/>
          <w:numId w:val="0"/>
        </w:numPr>
        <w:spacing w:line="560" w:lineRule="exact"/>
        <w:ind w:firstLine="482" w:firstLineChars="0"/>
        <w:rPr>
          <w:rFonts w:hint="eastAsia" w:ascii="宋体" w:hAnsi="宋体" w:cs="宋体"/>
          <w:color w:val="000000"/>
          <w:sz w:val="24"/>
          <w:szCs w:val="24"/>
        </w:rPr>
      </w:pPr>
      <w:r>
        <w:rPr>
          <w:rFonts w:hint="eastAsia" w:ascii="宋体" w:hAnsi="宋体" w:eastAsia="宋体" w:cs="宋体"/>
          <w:color w:val="000000"/>
          <w:kern w:val="2"/>
          <w:sz w:val="24"/>
          <w:szCs w:val="24"/>
          <w:lang w:val="en-US" w:eastAsia="zh-CN" w:bidi="ar-SA"/>
        </w:rPr>
        <w:t>7.</w:t>
      </w:r>
      <w:r>
        <w:rPr>
          <w:rFonts w:hint="eastAsia" w:ascii="宋体" w:hAnsi="宋体" w:cs="宋体"/>
          <w:color w:val="000000"/>
          <w:kern w:val="2"/>
          <w:sz w:val="24"/>
          <w:szCs w:val="24"/>
          <w:lang w:val="en-US" w:eastAsia="zh-CN" w:bidi="ar-SA"/>
        </w:rPr>
        <w:t>能够</w:t>
      </w:r>
      <w:r>
        <w:rPr>
          <w:rFonts w:hint="eastAsia" w:ascii="宋体" w:hAnsi="宋体" w:cs="宋体"/>
          <w:color w:val="000000"/>
          <w:sz w:val="24"/>
          <w:szCs w:val="24"/>
        </w:rPr>
        <w:t>提供4-8个稀释浓度的全值MIC药敏板和1-4稀释浓度的阈值药敏板。包括革兰氏阴性菌、革兰氏阳性菌、链球菌药敏检测板，含有20-24种抗生素。</w:t>
      </w:r>
      <w:r>
        <w:rPr>
          <w:rFonts w:hint="eastAsia" w:ascii="宋体" w:hAnsi="宋体" w:cs="宋体"/>
          <w:color w:val="000000"/>
          <w:sz w:val="24"/>
          <w:szCs w:val="24"/>
          <w:lang w:val="en-US" w:eastAsia="zh-CN"/>
        </w:rPr>
        <w:t>并</w:t>
      </w:r>
      <w:r>
        <w:rPr>
          <w:rFonts w:hint="eastAsia" w:ascii="宋体" w:hAnsi="宋体" w:cs="宋体"/>
          <w:color w:val="000000"/>
          <w:sz w:val="24"/>
          <w:szCs w:val="24"/>
        </w:rPr>
        <w:t>同时能检测ESBL、MRSA、VRE等耐药细菌。</w:t>
      </w:r>
    </w:p>
    <w:p>
      <w:pPr>
        <w:numPr>
          <w:ilvl w:val="0"/>
          <w:numId w:val="0"/>
        </w:numPr>
        <w:spacing w:line="560" w:lineRule="exact"/>
        <w:ind w:firstLine="482" w:firstLineChars="0"/>
        <w:rPr>
          <w:rFonts w:hint="eastAsia" w:ascii="宋体" w:hAnsi="宋体" w:eastAsia="宋体" w:cs="宋体"/>
          <w:color w:val="000000"/>
          <w:sz w:val="24"/>
          <w:szCs w:val="24"/>
          <w:lang w:eastAsia="zh-CN"/>
        </w:rPr>
      </w:pPr>
      <w:r>
        <w:rPr>
          <w:rFonts w:hint="eastAsia" w:ascii="宋体" w:hAnsi="宋体" w:eastAsia="宋体" w:cs="宋体"/>
          <w:color w:val="000000"/>
          <w:kern w:val="2"/>
          <w:sz w:val="24"/>
          <w:szCs w:val="24"/>
          <w:lang w:val="en-US" w:eastAsia="zh-CN" w:bidi="ar-SA"/>
        </w:rPr>
        <w:t>8.</w:t>
      </w:r>
      <w:r>
        <w:rPr>
          <w:rFonts w:hint="eastAsia" w:ascii="宋体" w:hAnsi="宋体" w:cs="宋体"/>
          <w:color w:val="000000"/>
          <w:sz w:val="24"/>
          <w:szCs w:val="24"/>
        </w:rPr>
        <w:t>头孢唑啉满足最新CLSI M100针对肠杆菌科的最新折点要求</w:t>
      </w:r>
      <w:r>
        <w:rPr>
          <w:rFonts w:hint="eastAsia" w:ascii="宋体" w:hAnsi="宋体" w:cs="宋体"/>
          <w:color w:val="000000"/>
          <w:sz w:val="24"/>
          <w:szCs w:val="24"/>
          <w:lang w:eastAsia="zh-CN"/>
        </w:rPr>
        <w:t>。</w:t>
      </w:r>
    </w:p>
    <w:p>
      <w:pPr>
        <w:numPr>
          <w:ilvl w:val="0"/>
          <w:numId w:val="0"/>
        </w:numPr>
        <w:spacing w:line="560" w:lineRule="exact"/>
        <w:ind w:firstLine="482" w:firstLineChars="0"/>
        <w:rPr>
          <w:rFonts w:hint="eastAsia" w:ascii="宋体" w:hAnsi="宋体" w:cs="宋体"/>
          <w:color w:val="000000"/>
          <w:sz w:val="24"/>
          <w:szCs w:val="24"/>
          <w:lang w:eastAsia="zh-CN"/>
        </w:rPr>
      </w:pPr>
      <w:r>
        <w:rPr>
          <w:rFonts w:hint="eastAsia" w:ascii="宋体" w:hAnsi="宋体" w:eastAsia="宋体" w:cs="宋体"/>
          <w:color w:val="000000"/>
          <w:kern w:val="2"/>
          <w:sz w:val="24"/>
          <w:szCs w:val="24"/>
          <w:lang w:val="en-US" w:eastAsia="zh-CN" w:bidi="ar-SA"/>
        </w:rPr>
        <w:t>9.</w:t>
      </w:r>
      <w:r>
        <w:rPr>
          <w:rFonts w:hint="eastAsia" w:ascii="宋体" w:hAnsi="宋体" w:cs="宋体"/>
          <w:color w:val="000000"/>
          <w:sz w:val="24"/>
          <w:szCs w:val="24"/>
        </w:rPr>
        <w:t>青霉素同时满足脑膜炎肺炎链球菌感染、非脑膜炎肺炎链球菌感染的药敏检测</w:t>
      </w:r>
      <w:r>
        <w:rPr>
          <w:rFonts w:hint="eastAsia" w:ascii="宋体" w:hAnsi="宋体" w:cs="宋体"/>
          <w:color w:val="000000"/>
          <w:sz w:val="24"/>
          <w:szCs w:val="24"/>
          <w:lang w:eastAsia="zh-CN"/>
        </w:rPr>
        <w:t>要求。</w:t>
      </w:r>
    </w:p>
    <w:p>
      <w:pPr>
        <w:numPr>
          <w:ilvl w:val="0"/>
          <w:numId w:val="0"/>
        </w:numPr>
        <w:spacing w:line="560" w:lineRule="exact"/>
        <w:rPr>
          <w:rFonts w:hint="eastAsia" w:ascii="宋体" w:hAnsi="宋体" w:cs="宋体"/>
          <w:color w:val="000000"/>
          <w:sz w:val="24"/>
          <w:szCs w:val="24"/>
        </w:rPr>
      </w:pPr>
      <w:r>
        <w:rPr>
          <w:rFonts w:hint="eastAsia" w:ascii="宋体" w:hAnsi="宋体" w:cs="宋体"/>
          <w:color w:val="000000"/>
          <w:sz w:val="24"/>
          <w:szCs w:val="24"/>
          <w:lang w:val="en-US" w:eastAsia="zh-CN"/>
        </w:rPr>
        <w:tab/>
      </w:r>
      <w:r>
        <w:rPr>
          <w:rFonts w:hint="eastAsia" w:ascii="宋体" w:hAnsi="宋体" w:cs="宋体"/>
          <w:color w:val="000000"/>
          <w:sz w:val="24"/>
          <w:szCs w:val="24"/>
          <w:lang w:val="en-US" w:eastAsia="zh-CN"/>
        </w:rPr>
        <w:t>10.</w:t>
      </w:r>
      <w:r>
        <w:rPr>
          <w:rFonts w:hint="eastAsia" w:ascii="宋体" w:hAnsi="宋体" w:cs="宋体"/>
          <w:color w:val="000000"/>
          <w:sz w:val="24"/>
          <w:szCs w:val="24"/>
        </w:rPr>
        <w:t>提供客户定制药敏板，超过240种抗生素可供选择,用于科研项目，提供制造商盖章确认的抗生素清单。</w:t>
      </w:r>
    </w:p>
    <w:p>
      <w:pPr>
        <w:numPr>
          <w:ilvl w:val="0"/>
          <w:numId w:val="0"/>
        </w:numPr>
        <w:spacing w:line="560" w:lineRule="exact"/>
        <w:ind w:firstLine="420" w:firstLineChars="0"/>
        <w:rPr>
          <w:rFonts w:hint="eastAsia" w:ascii="宋体" w:hAnsi="宋体" w:cs="宋体"/>
          <w:color w:val="000000"/>
          <w:sz w:val="24"/>
          <w:szCs w:val="24"/>
        </w:rPr>
      </w:pPr>
      <w:bookmarkStart w:id="16" w:name="_GoBack"/>
      <w:bookmarkEnd w:id="16"/>
      <w:r>
        <w:rPr>
          <w:rFonts w:hint="eastAsia" w:ascii="宋体" w:hAnsi="宋体" w:cs="宋体"/>
          <w:color w:val="000000"/>
          <w:sz w:val="24"/>
          <w:szCs w:val="24"/>
          <w:lang w:val="en-US" w:eastAsia="zh-CN"/>
        </w:rPr>
        <w:t>11.</w:t>
      </w:r>
      <w:r>
        <w:rPr>
          <w:rFonts w:hint="eastAsia" w:ascii="宋体" w:hAnsi="宋体" w:cs="宋体"/>
          <w:color w:val="000000"/>
          <w:sz w:val="24"/>
          <w:szCs w:val="24"/>
        </w:rPr>
        <w:t>细菌鉴定及药敏检测5-24小时。</w:t>
      </w:r>
    </w:p>
    <w:p>
      <w:pPr>
        <w:numPr>
          <w:ilvl w:val="0"/>
          <w:numId w:val="0"/>
        </w:numPr>
        <w:spacing w:line="560" w:lineRule="exact"/>
        <w:rPr>
          <w:rFonts w:hint="eastAsia" w:ascii="宋体" w:hAnsi="宋体" w:cs="宋体"/>
          <w:color w:val="00000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ab/>
      </w:r>
      <w:r>
        <w:rPr>
          <w:rFonts w:hint="eastAsia" w:ascii="宋体" w:hAnsi="宋体" w:cs="宋体"/>
          <w:color w:val="000000"/>
          <w:sz w:val="24"/>
          <w:szCs w:val="24"/>
          <w:lang w:val="en-US" w:eastAsia="zh-CN"/>
        </w:rPr>
        <w:t>12.</w:t>
      </w:r>
      <w:r>
        <w:rPr>
          <w:rFonts w:hint="eastAsia" w:ascii="宋体" w:hAnsi="宋体" w:cs="宋体"/>
          <w:color w:val="000000"/>
          <w:sz w:val="24"/>
          <w:szCs w:val="24"/>
        </w:rPr>
        <w:t>检测板为96孔板，加入菌液后薄膜覆盖，确保实验室生物安全。</w:t>
      </w:r>
    </w:p>
    <w:p>
      <w:pPr>
        <w:pStyle w:val="9"/>
        <w:numPr>
          <w:ilvl w:val="0"/>
          <w:numId w:val="0"/>
        </w:numPr>
        <w:spacing w:line="360" w:lineRule="auto"/>
        <w:ind w:left="0" w:leftChars="0" w:right="-197" w:rightChars="-94" w:hanging="426" w:firstLineChars="0"/>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13.▲鉴定板和药敏板单独分开。可常温保存 18-24个月有效。</w:t>
      </w:r>
      <w:r>
        <w:rPr>
          <w:rFonts w:hint="eastAsia" w:asciiTheme="minorEastAsia" w:hAnsiTheme="minorEastAsia"/>
          <w:bCs/>
          <w:sz w:val="24"/>
          <w:szCs w:val="24"/>
        </w:rPr>
        <w:t>药敏板</w:t>
      </w:r>
      <w:r>
        <w:rPr>
          <w:rFonts w:hint="eastAsia" w:cs="Times New Roman" w:asciiTheme="minorEastAsia" w:hAnsiTheme="minorEastAsia"/>
          <w:sz w:val="24"/>
          <w:szCs w:val="24"/>
        </w:rPr>
        <w:t>同时支持仪器自动荧光读取和浊度人工判读，方便报告结果。</w:t>
      </w:r>
    </w:p>
    <w:p>
      <w:pPr>
        <w:pStyle w:val="9"/>
        <w:numPr>
          <w:ilvl w:val="0"/>
          <w:numId w:val="0"/>
        </w:numPr>
        <w:spacing w:line="360" w:lineRule="auto"/>
        <w:ind w:left="0" w:leftChars="0" w:right="-197" w:rightChars="-94" w:hanging="426" w:firstLineChars="0"/>
        <w:rPr>
          <w:rFonts w:cs="Times New Roman" w:asciiTheme="minorEastAsia" w:hAnsiTheme="minorEastAsia"/>
          <w:sz w:val="24"/>
          <w:szCs w:val="24"/>
        </w:rPr>
      </w:pPr>
      <w:r>
        <w:rPr>
          <w:rFonts w:hint="eastAsia" w:ascii="宋体" w:hAnsi="宋体" w:cs="宋体"/>
          <w:color w:val="FF0000"/>
          <w:sz w:val="24"/>
          <w:szCs w:val="24"/>
          <w:lang w:val="en-US" w:eastAsia="zh-CN"/>
        </w:rPr>
        <w:t xml:space="preserve">       </w:t>
      </w:r>
      <w:r>
        <w:rPr>
          <w:rFonts w:hint="eastAsia" w:ascii="宋体" w:hAnsi="宋体" w:cs="宋体"/>
          <w:color w:val="FF0000"/>
          <w:sz w:val="24"/>
          <w:szCs w:val="24"/>
        </w:rPr>
        <w:t>14.</w:t>
      </w:r>
      <w:r>
        <w:rPr>
          <w:rFonts w:asciiTheme="minorEastAsia" w:hAnsiTheme="minorEastAsia"/>
          <w:bCs/>
          <w:i/>
          <w:iCs/>
          <w:color w:val="FF0000"/>
          <w:sz w:val="24"/>
          <w:szCs w:val="24"/>
          <w:u w:val="single"/>
        </w:rPr>
        <w:t>★</w:t>
      </w:r>
      <w:r>
        <w:rPr>
          <w:rFonts w:hint="eastAsia" w:asciiTheme="minorEastAsia" w:hAnsiTheme="minorEastAsia"/>
          <w:bCs/>
          <w:i/>
          <w:iCs/>
          <w:color w:val="FF0000"/>
          <w:sz w:val="24"/>
          <w:szCs w:val="24"/>
          <w:u w:val="single"/>
        </w:rPr>
        <w:t>所投标的全自动药敏分析系统主机为一体式，且型号既可以判读满足国家食品安全风险评估中心要求定制药敏板也可以判读满足致病菌识别网要求的定制药敏板，提供药敏板说明书</w:t>
      </w:r>
      <w:r>
        <w:rPr>
          <w:rFonts w:hint="eastAsia" w:asciiTheme="minorEastAsia" w:hAnsiTheme="minorEastAsia"/>
          <w:bCs/>
          <w:i/>
          <w:iCs/>
          <w:color w:val="FF0000"/>
          <w:sz w:val="24"/>
          <w:szCs w:val="24"/>
          <w:u w:val="single"/>
          <w:lang w:eastAsia="zh-CN"/>
        </w:rPr>
        <w:t>。</w:t>
      </w:r>
    </w:p>
    <w:p>
      <w:pPr>
        <w:numPr>
          <w:ilvl w:val="0"/>
          <w:numId w:val="0"/>
        </w:numPr>
        <w:spacing w:line="560" w:lineRule="exact"/>
        <w:ind w:firstLine="420" w:firstLineChars="0"/>
        <w:rPr>
          <w:rFonts w:hint="eastAsia" w:ascii="宋体" w:hAnsi="宋体" w:cs="宋体"/>
          <w:color w:val="000000"/>
          <w:sz w:val="24"/>
          <w:szCs w:val="24"/>
        </w:rPr>
      </w:pPr>
      <w:r>
        <w:rPr>
          <w:rFonts w:hint="eastAsia" w:ascii="宋体" w:hAnsi="宋体" w:cs="宋体"/>
          <w:color w:val="000000"/>
          <w:sz w:val="24"/>
          <w:szCs w:val="24"/>
        </w:rPr>
        <w:t>15.操作系统全中文操作软件，提供LIS或HIS系统的接口。</w:t>
      </w:r>
    </w:p>
    <w:p>
      <w:pPr>
        <w:numPr>
          <w:ilvl w:val="0"/>
          <w:numId w:val="0"/>
        </w:numPr>
        <w:spacing w:line="560" w:lineRule="exact"/>
        <w:ind w:firstLine="420" w:firstLineChars="0"/>
        <w:rPr>
          <w:rFonts w:hint="eastAsia" w:ascii="宋体" w:hAnsi="宋体" w:cs="宋体"/>
          <w:color w:val="000000"/>
          <w:sz w:val="24"/>
          <w:szCs w:val="24"/>
        </w:rPr>
      </w:pPr>
      <w:r>
        <w:rPr>
          <w:rFonts w:hint="eastAsia" w:ascii="宋体" w:hAnsi="宋体" w:cs="宋体"/>
          <w:color w:val="000000"/>
          <w:sz w:val="24"/>
          <w:szCs w:val="24"/>
        </w:rPr>
        <w:t>16.具有开放式的三级专家系统，遵循CLSI、EUCAST等标准，提出建议及修改。</w:t>
      </w:r>
    </w:p>
    <w:p>
      <w:pPr>
        <w:numPr>
          <w:ilvl w:val="0"/>
          <w:numId w:val="0"/>
        </w:numPr>
        <w:spacing w:line="560" w:lineRule="exact"/>
        <w:ind w:firstLine="420" w:firstLineChars="0"/>
        <w:rPr>
          <w:rFonts w:hint="eastAsia" w:ascii="宋体" w:hAnsi="宋体" w:cs="宋体"/>
          <w:color w:val="000000"/>
          <w:sz w:val="24"/>
          <w:szCs w:val="24"/>
        </w:rPr>
      </w:pPr>
      <w:r>
        <w:rPr>
          <w:rFonts w:hint="eastAsia" w:ascii="宋体" w:hAnsi="宋体" w:cs="宋体"/>
          <w:color w:val="000000"/>
          <w:sz w:val="24"/>
          <w:szCs w:val="24"/>
        </w:rPr>
        <w:t>17.流行病学统计，包括敏感率、MIC值曲线图、发生率报告等。</w:t>
      </w:r>
    </w:p>
    <w:p>
      <w:pPr>
        <w:numPr>
          <w:ilvl w:val="0"/>
          <w:numId w:val="0"/>
        </w:numPr>
        <w:spacing w:line="560" w:lineRule="exact"/>
        <w:ind w:firstLine="420" w:firstLineChars="0"/>
        <w:rPr>
          <w:rFonts w:hint="eastAsia" w:ascii="宋体" w:hAnsi="宋体" w:cs="宋体"/>
          <w:color w:val="000000"/>
          <w:sz w:val="24"/>
          <w:szCs w:val="24"/>
        </w:rPr>
      </w:pPr>
      <w:r>
        <w:rPr>
          <w:rFonts w:hint="eastAsia" w:ascii="宋体" w:hAnsi="宋体" w:cs="宋体"/>
          <w:color w:val="000000"/>
          <w:sz w:val="24"/>
          <w:szCs w:val="24"/>
        </w:rPr>
        <w:t>18.质量控制模块协助实验室的系统认证和室内质控。</w:t>
      </w:r>
    </w:p>
    <w:p>
      <w:pPr>
        <w:numPr>
          <w:ilvl w:val="0"/>
          <w:numId w:val="0"/>
        </w:numPr>
        <w:spacing w:line="560" w:lineRule="exact"/>
        <w:ind w:firstLine="420" w:firstLineChars="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19.提供微生物分析工具：可以一键式在地点，型，时间等多个维度展示菌株分型分析结果；存储菌株分离时间、地点等各种菌株信息于数据库中，数据库字段符合NCBI所需字段要求等。</w:t>
      </w:r>
    </w:p>
    <w:p>
      <w:pPr>
        <w:spacing w:line="560" w:lineRule="exact"/>
        <w:ind w:firstLine="482"/>
        <w:outlineLvl w:val="1"/>
        <w:rPr>
          <w:rFonts w:hint="eastAsia" w:ascii="宋体" w:hAnsi="宋体" w:cs="宋体"/>
          <w:b/>
          <w:color w:val="000000"/>
          <w:sz w:val="24"/>
          <w:szCs w:val="24"/>
        </w:rPr>
      </w:pPr>
      <w:bookmarkStart w:id="8" w:name="_Toc18598"/>
      <w:bookmarkStart w:id="9" w:name="_Toc16302"/>
      <w:r>
        <w:rPr>
          <w:rFonts w:hint="eastAsia" w:ascii="宋体" w:hAnsi="宋体" w:cs="宋体"/>
          <w:b/>
          <w:color w:val="000000"/>
          <w:sz w:val="24"/>
          <w:szCs w:val="24"/>
        </w:rPr>
        <w:t>五、设备交付、安装、免费质保期</w:t>
      </w:r>
      <w:bookmarkEnd w:id="8"/>
      <w:bookmarkEnd w:id="9"/>
    </w:p>
    <w:p>
      <w:pPr>
        <w:spacing w:line="560" w:lineRule="exact"/>
        <w:ind w:firstLine="482"/>
        <w:rPr>
          <w:rFonts w:hint="eastAsia" w:ascii="宋体" w:hAnsi="宋体" w:cs="宋体"/>
          <w:color w:val="000000"/>
          <w:sz w:val="24"/>
          <w:szCs w:val="24"/>
        </w:rPr>
      </w:pPr>
      <w:r>
        <w:rPr>
          <w:rFonts w:hint="eastAsia" w:ascii="宋体" w:hAnsi="宋体" w:cs="宋体"/>
          <w:color w:val="000000"/>
          <w:sz w:val="24"/>
          <w:szCs w:val="24"/>
        </w:rPr>
        <w:t>1.设备应按照合同要求如期交付，负责免费安装调试事宜，负责免费组织设备使用维护专业培训事宜，确保用户能顺利进行操作设备。</w:t>
      </w:r>
    </w:p>
    <w:p>
      <w:pPr>
        <w:spacing w:line="560" w:lineRule="exact"/>
        <w:ind w:firstLine="482"/>
        <w:rPr>
          <w:rFonts w:hint="eastAsia" w:ascii="宋体" w:hAnsi="宋体" w:cs="宋体"/>
          <w:color w:val="000000"/>
          <w:sz w:val="24"/>
          <w:szCs w:val="24"/>
        </w:rPr>
      </w:pPr>
      <w:r>
        <w:rPr>
          <w:rFonts w:hint="eastAsia" w:ascii="宋体" w:hAnsi="宋体" w:cs="宋体"/>
          <w:color w:val="000000"/>
          <w:sz w:val="24"/>
          <w:szCs w:val="24"/>
        </w:rPr>
        <w:t>2.设备免费质保期</w:t>
      </w:r>
      <w:r>
        <w:rPr>
          <w:rFonts w:hint="eastAsia" w:ascii="宋体" w:hAnsi="宋体" w:cs="宋体"/>
          <w:color w:val="000000"/>
          <w:sz w:val="24"/>
          <w:szCs w:val="24"/>
          <w:lang w:val="en-US" w:eastAsia="zh-CN"/>
        </w:rPr>
        <w:t>1</w:t>
      </w:r>
      <w:r>
        <w:rPr>
          <w:rFonts w:hint="eastAsia" w:ascii="宋体" w:hAnsi="宋体" w:cs="宋体"/>
          <w:color w:val="000000"/>
          <w:sz w:val="24"/>
          <w:szCs w:val="24"/>
        </w:rPr>
        <w:t>年，</w:t>
      </w:r>
      <w:r>
        <w:rPr>
          <w:rFonts w:hint="eastAsia" w:ascii="宋体" w:hAnsi="宋体" w:cs="宋体"/>
          <w:color w:val="000000"/>
          <w:sz w:val="24"/>
          <w:szCs w:val="24"/>
          <w:lang w:val="en-US" w:eastAsia="zh-CN"/>
        </w:rPr>
        <w:t>自验收合格之日起算。</w:t>
      </w:r>
      <w:r>
        <w:rPr>
          <w:rFonts w:hint="eastAsia" w:ascii="宋体" w:hAnsi="宋体" w:cs="宋体"/>
          <w:color w:val="000000"/>
          <w:sz w:val="24"/>
          <w:szCs w:val="24"/>
        </w:rPr>
        <w:t>免费质保期内包含所有零配件维护更换。如质保期内出现核心部件故障须更换全新设备。免费质保期内涉及故障、维修需更换零配件事宜由中标方负责，不得向设备使用方收取</w:t>
      </w:r>
      <w:r>
        <w:rPr>
          <w:rFonts w:hint="eastAsia" w:ascii="宋体" w:hAnsi="宋体" w:cs="宋体"/>
          <w:color w:val="000000"/>
          <w:sz w:val="24"/>
          <w:szCs w:val="24"/>
          <w:lang w:val="en-US" w:eastAsia="zh-CN"/>
        </w:rPr>
        <w:t>包括但不限于</w:t>
      </w:r>
      <w:r>
        <w:rPr>
          <w:rFonts w:hint="eastAsia" w:ascii="宋体" w:hAnsi="宋体" w:cs="宋体"/>
          <w:color w:val="000000"/>
          <w:sz w:val="24"/>
          <w:szCs w:val="24"/>
        </w:rPr>
        <w:t>维护费用、配件更换费用、劳务费用等；免费质保期内设备发生故障需要维护时，提供7×24h售后服务；故障报修后，维修工程师8小时内响应，24小时内赴现场处理完毕</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不得影响采购人正常使用。供应商未在上述规定时间内履行质保义务的，采购人可选择是否委托第三方代为处理，由此产生的费用及损失均由供应商承担，每出现一次，由供应商向采购人支付合同总额2%违约金（可在应付款项中扣除）</w:t>
      </w:r>
      <w:r>
        <w:rPr>
          <w:rFonts w:hint="eastAsia" w:ascii="宋体" w:hAnsi="宋体" w:cs="宋体"/>
          <w:color w:val="000000"/>
          <w:sz w:val="24"/>
          <w:szCs w:val="24"/>
        </w:rPr>
        <w:t>。</w:t>
      </w:r>
    </w:p>
    <w:p>
      <w:pPr>
        <w:pStyle w:val="8"/>
        <w:ind w:firstLine="420"/>
        <w:rPr>
          <w:rFonts w:hint="eastAsia" w:cs="宋体"/>
          <w:b w:val="0"/>
          <w:color w:val="000000"/>
          <w:sz w:val="24"/>
          <w:szCs w:val="24"/>
        </w:rPr>
      </w:pPr>
      <w:r>
        <w:rPr>
          <w:rFonts w:hint="eastAsia" w:cs="宋体"/>
          <w:b w:val="0"/>
          <w:color w:val="000000"/>
          <w:sz w:val="24"/>
          <w:szCs w:val="24"/>
        </w:rPr>
        <w:t>3.设备免费质保期满后，中标方应保证终身以最优惠的价格提供备件和保养服务，当发生故障时，中标单位应按</w:t>
      </w:r>
      <w:r>
        <w:rPr>
          <w:rFonts w:hint="eastAsia" w:cs="宋体"/>
          <w:b w:val="0"/>
          <w:color w:val="000000"/>
          <w:sz w:val="24"/>
          <w:szCs w:val="24"/>
          <w:lang w:val="en-US" w:eastAsia="zh-CN"/>
        </w:rPr>
        <w:t>采购人</w:t>
      </w:r>
      <w:r>
        <w:rPr>
          <w:rFonts w:hint="eastAsia" w:cs="宋体"/>
          <w:b w:val="0"/>
          <w:color w:val="000000"/>
          <w:sz w:val="24"/>
          <w:szCs w:val="24"/>
        </w:rPr>
        <w:t>要求进行维修处理。</w:t>
      </w:r>
    </w:p>
    <w:p>
      <w:pPr>
        <w:spacing w:line="560" w:lineRule="exact"/>
        <w:ind w:firstLine="482"/>
        <w:outlineLvl w:val="1"/>
        <w:rPr>
          <w:rFonts w:hint="eastAsia"/>
          <w:b/>
          <w:bCs/>
          <w:color w:val="000000"/>
          <w:sz w:val="24"/>
        </w:rPr>
      </w:pPr>
      <w:bookmarkStart w:id="10" w:name="_Toc17154"/>
      <w:bookmarkStart w:id="11" w:name="_Toc20231"/>
      <w:r>
        <w:rPr>
          <w:rFonts w:hint="eastAsia"/>
          <w:b/>
          <w:bCs/>
          <w:color w:val="000000"/>
          <w:sz w:val="24"/>
        </w:rPr>
        <w:t>六、项目实施方案</w:t>
      </w:r>
      <w:bookmarkEnd w:id="10"/>
      <w:bookmarkEnd w:id="11"/>
    </w:p>
    <w:p>
      <w:pPr>
        <w:spacing w:line="560" w:lineRule="exact"/>
        <w:ind w:firstLine="480"/>
        <w:rPr>
          <w:rFonts w:hint="eastAsia"/>
          <w:color w:val="000000"/>
          <w:sz w:val="24"/>
        </w:rPr>
      </w:pPr>
      <w:r>
        <w:rPr>
          <w:rFonts w:hint="eastAsia"/>
          <w:color w:val="000000"/>
          <w:sz w:val="24"/>
        </w:rPr>
        <w:t>针对本项目提供项目实施方案（包括供货方案、实施计划、质量保证、培训及售后服务等）。</w:t>
      </w:r>
    </w:p>
    <w:p>
      <w:pPr>
        <w:spacing w:line="560" w:lineRule="exact"/>
        <w:ind w:firstLine="480"/>
        <w:rPr>
          <w:rFonts w:hint="eastAsia"/>
          <w:color w:val="000000"/>
          <w:sz w:val="24"/>
        </w:rPr>
      </w:pPr>
      <w:r>
        <w:rPr>
          <w:rFonts w:hint="eastAsia"/>
          <w:color w:val="000000"/>
          <w:sz w:val="24"/>
        </w:rPr>
        <w:t>其中供货方案、实施计划、质量保证内容包括但不限于：针对本项目制定，供货时间及计划安排，管理情况，安装计划、质量保证措施等。</w:t>
      </w:r>
    </w:p>
    <w:p>
      <w:pPr>
        <w:spacing w:line="560" w:lineRule="exact"/>
        <w:ind w:firstLine="480"/>
        <w:rPr>
          <w:rFonts w:hint="eastAsia"/>
          <w:color w:val="000000"/>
          <w:sz w:val="24"/>
        </w:rPr>
      </w:pPr>
      <w:r>
        <w:rPr>
          <w:rFonts w:hint="eastAsia"/>
          <w:color w:val="000000"/>
          <w:sz w:val="24"/>
        </w:rPr>
        <w:t>培训方案内容包括但不限于：针对本项目制定的培训计划，含培训方案合理程度，完整性、灵活性及培训人数、时间的安排等、技术培训方案（如：产品安装、检验、调试、使用和维护、一般故障排除、重大故障应急等方面的培训内容）等。</w:t>
      </w:r>
    </w:p>
    <w:p>
      <w:pPr>
        <w:spacing w:line="560" w:lineRule="exact"/>
        <w:ind w:firstLine="482"/>
        <w:rPr>
          <w:color w:val="000000"/>
          <w:sz w:val="24"/>
        </w:rPr>
      </w:pPr>
      <w:r>
        <w:rPr>
          <w:rFonts w:hint="eastAsia"/>
          <w:color w:val="000000"/>
          <w:sz w:val="24"/>
        </w:rPr>
        <w:t xml:space="preserve">售后服务内容包括但不限于：售后服务体系、售后服务人员、售后服务承诺、售后服务应答及处理时间，质保期内的售后服务范围、质保期满后的售后服务范围等。 </w:t>
      </w:r>
      <w:r>
        <w:rPr>
          <w:color w:val="000000"/>
          <w:sz w:val="24"/>
        </w:rPr>
        <w:t xml:space="preserve">   </w:t>
      </w:r>
    </w:p>
    <w:p>
      <w:pPr>
        <w:spacing w:line="560" w:lineRule="exact"/>
        <w:ind w:firstLine="482"/>
        <w:outlineLvl w:val="1"/>
        <w:rPr>
          <w:rFonts w:hint="eastAsia"/>
          <w:b/>
          <w:bCs/>
          <w:color w:val="000000"/>
          <w:sz w:val="24"/>
        </w:rPr>
      </w:pPr>
      <w:bookmarkStart w:id="12" w:name="_Toc6104"/>
      <w:bookmarkStart w:id="13" w:name="_Toc6914"/>
      <w:r>
        <w:rPr>
          <w:rFonts w:hint="eastAsia"/>
          <w:b/>
          <w:bCs/>
          <w:color w:val="000000"/>
          <w:sz w:val="24"/>
        </w:rPr>
        <w:t>七、验收</w:t>
      </w:r>
      <w:bookmarkEnd w:id="12"/>
      <w:bookmarkEnd w:id="13"/>
    </w:p>
    <w:p>
      <w:pPr>
        <w:spacing w:line="560" w:lineRule="exact"/>
        <w:ind w:firstLine="480"/>
        <w:rPr>
          <w:rFonts w:hint="eastAsia"/>
          <w:color w:val="auto"/>
          <w:sz w:val="24"/>
        </w:rPr>
      </w:pPr>
      <w:r>
        <w:rPr>
          <w:color w:val="000000"/>
          <w:sz w:val="24"/>
        </w:rPr>
        <w:t>1</w:t>
      </w:r>
      <w:r>
        <w:rPr>
          <w:rFonts w:hint="eastAsia"/>
          <w:color w:val="000000"/>
          <w:sz w:val="24"/>
        </w:rPr>
        <w:t>、验收时间:采购人所需货物全部到达指定现场并安装完毕、培训并达到验收标准后，</w:t>
      </w:r>
      <w:r>
        <w:rPr>
          <w:rFonts w:hint="eastAsia"/>
          <w:color w:val="auto"/>
          <w:sz w:val="24"/>
        </w:rPr>
        <w:t>采购单位</w:t>
      </w:r>
      <w:r>
        <w:rPr>
          <w:rFonts w:hint="eastAsia"/>
          <w:color w:val="000000"/>
          <w:sz w:val="24"/>
        </w:rPr>
        <w:t>组织验收，并出具验收报告。</w:t>
      </w:r>
      <w:r>
        <w:rPr>
          <w:rFonts w:hint="eastAsia"/>
          <w:color w:val="auto"/>
          <w:sz w:val="24"/>
        </w:rPr>
        <w:t>采购单位在验收中，如发现有与合同规定不符的，应在 3 天内向中标单位提出书面意见，不签发验收单，中标单位在接到采购单位书面意见后，应在 3 天内予以</w:t>
      </w:r>
      <w:r>
        <w:rPr>
          <w:rFonts w:hint="eastAsia"/>
          <w:color w:val="auto"/>
          <w:sz w:val="24"/>
          <w:lang w:val="en-US" w:eastAsia="zh-CN"/>
        </w:rPr>
        <w:t>完毕，并经处理结果书面告知采购人</w:t>
      </w:r>
      <w:r>
        <w:rPr>
          <w:rFonts w:hint="eastAsia"/>
          <w:color w:val="auto"/>
          <w:sz w:val="24"/>
        </w:rPr>
        <w:t>。</w:t>
      </w:r>
    </w:p>
    <w:p>
      <w:pPr>
        <w:spacing w:line="560" w:lineRule="exact"/>
        <w:ind w:firstLine="480"/>
        <w:rPr>
          <w:rFonts w:hint="eastAsia"/>
          <w:color w:val="000000"/>
          <w:sz w:val="24"/>
        </w:rPr>
      </w:pPr>
      <w:r>
        <w:rPr>
          <w:color w:val="000000"/>
          <w:sz w:val="24"/>
        </w:rPr>
        <w:t>2</w:t>
      </w:r>
      <w:r>
        <w:rPr>
          <w:rFonts w:hint="eastAsia"/>
          <w:color w:val="000000"/>
          <w:sz w:val="24"/>
        </w:rPr>
        <w:t xml:space="preserve">、验收内容:在货物进场并安装调试完毕，中标单位向采购单位提交项目验收技术资料以及验收申请单，采购单位收到申请后 7 个工作日内，采购单位根据技术要求组织验收，验收内容包括：型号、规格、数量、外观质量、及货物包装是否完好，安装调试是否合格，所提供货物的装箱清单、用户手册、原厂保修卡、随机资料及配件、随机工具等是否齐全。货物最终验收后，中标单位应对由于设计、工艺或材料的缺陷而发生的任何不足或故障负责，并承担由此引起的一切后果。 </w:t>
      </w:r>
    </w:p>
    <w:p>
      <w:pPr>
        <w:spacing w:line="560" w:lineRule="exact"/>
        <w:ind w:firstLine="482"/>
        <w:rPr>
          <w:rFonts w:hint="eastAsia"/>
          <w:color w:val="000000"/>
          <w:sz w:val="24"/>
        </w:rPr>
      </w:pPr>
      <w:r>
        <w:rPr>
          <w:color w:val="000000"/>
          <w:sz w:val="24"/>
        </w:rPr>
        <w:t>3</w:t>
      </w:r>
      <w:r>
        <w:rPr>
          <w:rFonts w:hint="eastAsia"/>
          <w:color w:val="000000"/>
          <w:sz w:val="24"/>
        </w:rPr>
        <w:t>、如果设备的质量、规格与合同规定不符，或在质量保证期内发现设备是有缺陷的(包括潜在缺陷或使用不符合要求的材料)，采购人应报请法定检验机构进行检测(检测费由供应商承担)，有权凭其出具的检验报告向供应商提出索赔。</w:t>
      </w:r>
    </w:p>
    <w:p>
      <w:pPr>
        <w:pStyle w:val="6"/>
        <w:ind w:firstLine="480" w:firstLineChars="200"/>
        <w:rPr>
          <w:rFonts w:hint="default"/>
          <w:color w:val="000000"/>
          <w:sz w:val="24"/>
          <w:lang w:val="en-US" w:eastAsia="zh-CN"/>
        </w:rPr>
      </w:pPr>
      <w:r>
        <w:rPr>
          <w:rFonts w:hint="eastAsia"/>
          <w:color w:val="000000"/>
          <w:sz w:val="24"/>
          <w:lang w:val="en-US" w:eastAsia="zh-CN"/>
        </w:rPr>
        <w:t>4、采购人组建验收小组，验收小组可由单位纪检人员、技术人员等三人以上组成。从政府采购评审库中抽取专业评委参与验收的，评委费由供应商支付。</w:t>
      </w:r>
    </w:p>
    <w:p>
      <w:pPr>
        <w:pStyle w:val="6"/>
        <w:ind w:firstLine="480" w:firstLineChars="200"/>
        <w:rPr>
          <w:rFonts w:hint="eastAsia" w:eastAsia="宋体"/>
          <w:lang w:val="en-US" w:eastAsia="zh-CN"/>
        </w:rPr>
      </w:pPr>
      <w:r>
        <w:rPr>
          <w:rFonts w:hint="eastAsia"/>
          <w:color w:val="000000"/>
          <w:sz w:val="24"/>
          <w:lang w:val="en-US" w:eastAsia="zh-CN"/>
        </w:rPr>
        <w:t>5、如果验收不合格,采购人有权拒绝付，供应商应在采购人限定时间内予以更换符合要求的货物，供应商自行承担由此产生的所有费用。</w:t>
      </w:r>
    </w:p>
    <w:p>
      <w:pPr>
        <w:spacing w:line="560" w:lineRule="exact"/>
        <w:ind w:firstLine="482"/>
        <w:outlineLvl w:val="1"/>
        <w:rPr>
          <w:b/>
          <w:bCs/>
          <w:color w:val="000000"/>
          <w:sz w:val="24"/>
        </w:rPr>
      </w:pPr>
      <w:bookmarkStart w:id="14" w:name="_Toc26160"/>
      <w:bookmarkStart w:id="15" w:name="_Toc5381"/>
      <w:r>
        <w:rPr>
          <w:rFonts w:hint="eastAsia"/>
          <w:b/>
          <w:bCs/>
          <w:color w:val="000000"/>
          <w:sz w:val="24"/>
        </w:rPr>
        <w:t>八、其他要求</w:t>
      </w:r>
      <w:bookmarkEnd w:id="14"/>
      <w:bookmarkEnd w:id="15"/>
    </w:p>
    <w:p>
      <w:pPr>
        <w:spacing w:line="560" w:lineRule="exact"/>
        <w:ind w:firstLine="480"/>
        <w:rPr>
          <w:color w:val="000000"/>
          <w:sz w:val="24"/>
        </w:rPr>
      </w:pPr>
      <w:r>
        <w:rPr>
          <w:rFonts w:hint="eastAsia"/>
          <w:color w:val="000000"/>
          <w:sz w:val="24"/>
        </w:rPr>
        <w:t>1、中标供应商确保供货设备的参数与所投参数一致，如在验收过程发现供货设备的参数与所投参数不一致，供应商必须在7个工作日内作出调整，否则视为在投标过程中弄虚作假，招标方将取消中标资格并上报财政局追究其相关责任。</w:t>
      </w:r>
    </w:p>
    <w:p>
      <w:pPr>
        <w:spacing w:line="560" w:lineRule="exact"/>
        <w:ind w:firstLine="480"/>
        <w:rPr>
          <w:rFonts w:hint="eastAsia"/>
          <w:color w:val="000000"/>
          <w:sz w:val="24"/>
        </w:rPr>
      </w:pPr>
      <w:r>
        <w:rPr>
          <w:color w:val="000000"/>
          <w:sz w:val="24"/>
        </w:rPr>
        <w:t>2</w:t>
      </w:r>
      <w:r>
        <w:rPr>
          <w:rFonts w:hint="eastAsia"/>
          <w:color w:val="000000"/>
          <w:sz w:val="24"/>
        </w:rPr>
        <w:t>、本次采购产品涉及商品包装和快递包装要求的，应不低于《关于印发《商品包装政府采购需求标准（试行）》《快递包装政府采购需求标准（试行）》的通知》（财办库〔2020〕123 号）文件规定的参考标准。在履约验收时按照本条款执行。投标人一旦参与本项目投标，即完全响应本条款要求。</w:t>
      </w:r>
    </w:p>
    <w:p>
      <w:pPr>
        <w:spacing w:line="560" w:lineRule="exact"/>
        <w:ind w:firstLine="480"/>
        <w:rPr>
          <w:rFonts w:hint="eastAsia"/>
          <w:color w:val="000000"/>
          <w:sz w:val="24"/>
        </w:rPr>
      </w:pPr>
      <w:r>
        <w:rPr>
          <w:rFonts w:hint="eastAsia"/>
          <w:color w:val="000000"/>
          <w:sz w:val="24"/>
        </w:rPr>
        <w:t>3、节能、环保产品政策</w:t>
      </w:r>
    </w:p>
    <w:p>
      <w:pPr>
        <w:spacing w:line="560" w:lineRule="exact"/>
        <w:ind w:firstLine="480"/>
        <w:rPr>
          <w:rFonts w:hint="eastAsia"/>
          <w:color w:val="000000"/>
          <w:sz w:val="24"/>
        </w:rPr>
      </w:pPr>
      <w:r>
        <w:rPr>
          <w:rFonts w:hint="eastAsia"/>
          <w:color w:val="000000"/>
          <w:sz w:val="24"/>
        </w:rPr>
        <w:t>对照财库〔2019〕9号、财库〔2019〕19号文件规定，供应商所投产品属于强制采购产品的，应提供国家市场监督管理局确定的列入“参与实施政府采购节能产品认证机构名录”内的认证机构出具的、有效期内的该产品的节能产品认证证书电子件，不满足以上要求的按无效标处理。</w:t>
      </w:r>
    </w:p>
    <w:p>
      <w:pPr>
        <w:spacing w:line="560" w:lineRule="exact"/>
        <w:ind w:firstLine="480"/>
        <w:rPr>
          <w:rFonts w:hint="eastAsia"/>
          <w:color w:val="000000"/>
          <w:sz w:val="24"/>
        </w:rPr>
      </w:pPr>
      <w:r>
        <w:rPr>
          <w:rFonts w:hint="eastAsia"/>
          <w:color w:val="000000"/>
          <w:sz w:val="24"/>
        </w:rPr>
        <w:t>4、商品包装、快递包装政府采购需求标准（试行）</w:t>
      </w:r>
    </w:p>
    <w:p>
      <w:pPr>
        <w:spacing w:line="560" w:lineRule="exact"/>
        <w:ind w:firstLine="480"/>
        <w:rPr>
          <w:rFonts w:hint="eastAsia"/>
          <w:color w:val="000000"/>
          <w:sz w:val="24"/>
        </w:rPr>
      </w:pPr>
      <w:r>
        <w:rPr>
          <w:rFonts w:hint="eastAsia"/>
          <w:color w:val="000000"/>
          <w:sz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p>
    <w:p>
      <w:pPr>
        <w:spacing w:line="560" w:lineRule="exact"/>
        <w:ind w:firstLine="480"/>
        <w:rPr>
          <w:rFonts w:hint="eastAsia"/>
          <w:color w:val="000000"/>
          <w:sz w:val="24"/>
          <w:lang w:val="en-US" w:eastAsia="zh-CN"/>
        </w:rPr>
      </w:pPr>
      <w:r>
        <w:rPr>
          <w:rFonts w:hint="eastAsia"/>
          <w:color w:val="000000"/>
          <w:sz w:val="24"/>
          <w:lang w:val="en-US" w:eastAsia="zh-CN"/>
        </w:rPr>
        <w:t>5、采购本国货物、工程和服务</w:t>
      </w:r>
    </w:p>
    <w:p>
      <w:pPr>
        <w:spacing w:line="560" w:lineRule="exact"/>
        <w:ind w:firstLine="480"/>
        <w:rPr>
          <w:rFonts w:hint="eastAsia"/>
          <w:color w:val="000000"/>
          <w:sz w:val="24"/>
          <w:lang w:val="en-US" w:eastAsia="zh-CN"/>
        </w:rPr>
      </w:pPr>
      <w:r>
        <w:rPr>
          <w:rFonts w:hint="eastAsia"/>
          <w:color w:val="000000"/>
          <w:sz w:val="24"/>
          <w:lang w:val="en-US" w:eastAsia="zh-CN"/>
        </w:rPr>
        <w:t>政府采购应当采购本国货物、工程和服务，但有《中华人民共和国政府采购法》第十条规定情形的除外。如采购进口产品的，应当符合《政府采购进口产品管理办法》（财库〔2007〕119 号文）、《关于政府采购进口产品管理有关问题的通知》（财办库〔2008〕248号文）等相关规定。是否采购进口产品以采购需求中确定的为准。</w:t>
      </w:r>
    </w:p>
    <w:p>
      <w:pPr>
        <w:rPr>
          <w:rFonts w:hint="eastAsia"/>
        </w:rPr>
      </w:pPr>
    </w:p>
    <w:sectPr>
      <w:pgSz w:w="11906" w:h="16838"/>
      <w:pgMar w:top="2098" w:right="1531" w:bottom="192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2"/>
    <w:multiLevelType w:val="singleLevel"/>
    <w:tmpl w:val="0000000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ZDZjYTI5MDkxZmNjYTc3YTY0ZDUzZTllNWJjODMifQ=="/>
  </w:docVars>
  <w:rsids>
    <w:rsidRoot w:val="094E22F4"/>
    <w:rsid w:val="02D2277F"/>
    <w:rsid w:val="04C80BE4"/>
    <w:rsid w:val="094E22F4"/>
    <w:rsid w:val="0E947D89"/>
    <w:rsid w:val="0F670FFA"/>
    <w:rsid w:val="216D714B"/>
    <w:rsid w:val="24E02927"/>
    <w:rsid w:val="2EF173AE"/>
    <w:rsid w:val="314D5E4A"/>
    <w:rsid w:val="349C377A"/>
    <w:rsid w:val="40BF3271"/>
    <w:rsid w:val="60E15E65"/>
    <w:rsid w:val="65CF30F0"/>
    <w:rsid w:val="715A093B"/>
    <w:rsid w:val="7389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style>
  <w:style w:type="paragraph" w:styleId="3">
    <w:name w:val="Plain Text"/>
    <w:basedOn w:val="1"/>
    <w:qFormat/>
    <w:uiPriority w:val="0"/>
    <w:rPr>
      <w:rFonts w:ascii="宋体" w:hAnsi="Courier New" w:cs="Courier New"/>
    </w:r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7">
    <w:name w:val="Normal_19"/>
    <w:autoRedefine/>
    <w:qFormat/>
    <w:uiPriority w:val="0"/>
    <w:pPr>
      <w:widowControl w:val="0"/>
      <w:jc w:val="both"/>
    </w:pPr>
    <w:rPr>
      <w:rFonts w:ascii="Calibri" w:hAnsi="Calibri" w:eastAsia="Times New Roman" w:cs="Times New Roman"/>
      <w:kern w:val="2"/>
      <w:sz w:val="21"/>
      <w:szCs w:val="24"/>
      <w:lang w:val="en-US" w:eastAsia="zh-CN" w:bidi="ar-SA"/>
    </w:rPr>
  </w:style>
  <w:style w:type="paragraph" w:customStyle="1" w:styleId="8">
    <w:name w:val="标题二、"/>
    <w:basedOn w:val="1"/>
    <w:autoRedefine/>
    <w:qFormat/>
    <w:uiPriority w:val="99"/>
    <w:pPr>
      <w:spacing w:line="360" w:lineRule="auto"/>
      <w:ind w:firstLine="200"/>
      <w:outlineLvl w:val="2"/>
    </w:pPr>
    <w:rPr>
      <w:rFonts w:ascii="宋体" w:hAnsi="宋体"/>
      <w:b/>
      <w:szCs w:val="21"/>
    </w:rPr>
  </w:style>
  <w:style w:type="paragraph" w:styleId="9">
    <w:name w:val="List Paragraph"/>
    <w:basedOn w:val="1"/>
    <w:autoRedefine/>
    <w:qFormat/>
    <w:uiPriority w:val="0"/>
    <w:pPr>
      <w:widowControl/>
      <w:ind w:left="720"/>
      <w:contextualSpacing/>
      <w:jc w:val="left"/>
    </w:pPr>
    <w:rPr>
      <w:rFonts w:ascii="Calibri" w:hAnsi="Calibri"/>
      <w:kern w:val="0"/>
      <w:sz w:val="24"/>
      <w:szCs w:val="24"/>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2024-05-24T07:07:00Z</dcterms:created>
  <dc:creator>Lenovo</dc:creator>
  <cp:lastModifiedBy>Lenovo</cp:lastModifiedBy>
  <dcterms:modified xsi:type="dcterms:W3CDTF">2024-05-24T07:46:33Z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29636C5F01634AB3BEABBD531C952929_11</vt:lpwstr>
  </property>
</Properties>
</file>